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Östra Luspenåivve i Arvidsjaurs kommun</w:t>
      </w:r>
    </w:p>
    <w:p>
      <w:r>
        <w:t>Detta dokument behandlar höga naturvärden i avverkningsanmälan Östra Luspenåivve i Arvidsjaurs kommun. Denna avverkningsanmälan inkom 2023-07-27 och omfattar 207,9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68 naturvårdsarter hittats: urskogsporing (EN), blackticka (VU), doftticka (VU, §8), fläckporing (VU), gräddporing (VU), knärot (VU, §8), lateritticka (VU), smalfotad taggsvamp (VU), tajgataggsvamp (VU), blanksvart spiklav (NT), blå taggsvamp (NT), blågrå svartspik (NT), brunpudrad nållav (NT), doftskinn (NT), dvärgbägarlav (NT), gammelgransskål (NT), garnlav (NT), granticka (NT), gränsticka (NT), grå blåbärsfältmätare (NT), hornvaxskinn (NT), järpe (NT, §4), knottrig blåslav (NT), kolflarnlav (NT), kortskaftad ärgspik (NT), kådvaxskinn (NT), liten svartspik (NT), luddfingersvamp (NT), lunglav (NT), mörk kolflarnlav (NT), nordtagging (NT), orange taggsvamp (NT), rosenticka (NT), spillkråka (NT, §4), svart taggsvamp (NT), tallticka (NT), talltita (NT, §4), tretåig hackspett (NT, §4), ullticka (NT), vaddporing (NT), vedflamlav (NT), vedskivlav (NT), vedtrappmossa (NT), violmussling (NT), vitgrynig nållav (NT), vitplätt (NT), blodticka (S), bårdlav (S), dropptaggsvamp (S), källpraktmossa (S), luddlav (S), norrlandslav (S), nästlav (S), plattlummer (S, §9), skarp dropptaggsvamp (S), skinnlav (S), sotlav (S), spindelblomster (S, §8), stuplav (S), vedticka (S), vågbandad barkbock (S), ögonpyrola (S), kungsfågel (§4), lavskrika (§4), tjäder (§4), vanlig groda (§6), fläcknycklar (§8) och revlummer (§9). Av dessa är 46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09484"/>
            <wp:docPr id="1" name="Picture 1"/>
            <wp:cNvGraphicFramePr>
              <a:graphicFrameLocks noChangeAspect="1"/>
            </wp:cNvGraphicFramePr>
            <a:graphic>
              <a:graphicData uri="http://schemas.openxmlformats.org/drawingml/2006/picture">
                <pic:pic>
                  <pic:nvPicPr>
                    <pic:cNvPr id="0" name="Östra Luspenåivve karta.png"/>
                    <pic:cNvPicPr/>
                  </pic:nvPicPr>
                  <pic:blipFill>
                    <a:blip r:embed="rId16"/>
                    <a:stretch>
                      <a:fillRect/>
                    </a:stretch>
                  </pic:blipFill>
                  <pic:spPr>
                    <a:xfrm>
                      <a:off x="0" y="0"/>
                      <a:ext cx="5486400" cy="420948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7274230, E 704000 i SWEREF 99 TM.</w:t>
      </w:r>
    </w:p>
    <w:p>
      <w:pPr>
        <w:pStyle w:val="Heading1"/>
      </w:pPr>
      <w:r>
        <w:t>Fridlysta arter</w:t>
      </w:r>
    </w:p>
    <w:p>
      <w:r>
        <w:t>Följande fridlysta arter har sina livsmiljöer och växtplatser i den avverkningsanmälda skogen: doftticka (VU, §8), knärot (VU, §8), järpe (NT, §4), spillkråka (NT, §4), talltita (NT, §4), tretåig hackspett (NT, §4), plattlummer (S, §9), spindelblomster (S, §8), kungsfågel (§4), lavskrika (§4), tjäder (§4), vanlig groda (§6), fläcknycklar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xml:space="preserve">, rödlistad som nära hotad och prioriterad art i Skogsvårdslagen har häckningsrevir i avverkningsanmälan. Arten har minskat med 25 (10 - 40)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 </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117 fyndplatser för knärot registrerade på Artportalen. Figur 2 visar gränserna för buffertzoner på 50 m, som behöver lämnas kring fyndplatserna för att knärotslokalerna inte ska försvinna vid en avverkning. Av det avverkningsanmälda området överlappar 34.03 ha med buffertzonerna och får av detta skäl inte avverkas.</w:t>
      </w:r>
    </w:p>
    <w:p>
      <w:pPr>
        <w:pStyle w:val="Caption"/>
      </w:pPr>
      <w:r>
        <w:drawing>
          <wp:inline xmlns:a="http://schemas.openxmlformats.org/drawingml/2006/main" xmlns:pic="http://schemas.openxmlformats.org/drawingml/2006/picture">
            <wp:extent cx="5486400" cy="6664883"/>
            <wp:docPr id="2" name="Picture 2"/>
            <wp:cNvGraphicFramePr>
              <a:graphicFrameLocks noChangeAspect="1"/>
            </wp:cNvGraphicFramePr>
            <a:graphic>
              <a:graphicData uri="http://schemas.openxmlformats.org/drawingml/2006/picture">
                <pic:pic>
                  <pic:nvPicPr>
                    <pic:cNvPr id="0" name="Östra Luspenåivve karta knärot.png"/>
                    <pic:cNvPicPr/>
                  </pic:nvPicPr>
                  <pic:blipFill>
                    <a:blip r:embed="rId17"/>
                    <a:stretch>
                      <a:fillRect/>
                    </a:stretch>
                  </pic:blipFill>
                  <pic:spPr>
                    <a:xfrm>
                      <a:off x="0" y="0"/>
                      <a:ext cx="5486400" cy="6664883"/>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7274230, E 704000 i SWEREF 99 TM.</w:t>
      </w:r>
    </w:p>
    <w:p>
      <w:pPr>
        <w:pStyle w:val="Caption"/>
      </w:pP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 Varje par utnyttjar 400-1 000 hektar skog beroende på skogens kvalitet. En minskning av populationen pågår på grund av minskad tillgång på lämpliga bo- och födoträd och minskad födotillgång. Spillkråkans minskningstakt har uppgått till 19 (24-10) % under de senaste 15 åren.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p>
      <w:pPr>
        <w:pStyle w:val="Heading1"/>
      </w:pPr>
      <w:r>
        <w:t>Tjäder – ekologi samt krav på livsmiljön</w:t>
      </w:r>
    </w:p>
    <w:p>
      <w:r>
        <w:t xml:space="preserve">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2024-07-25</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